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1C03" w14:textId="77777777" w:rsidR="00EB2605" w:rsidRPr="00EB2605" w:rsidRDefault="00EB2605" w:rsidP="00EB2605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  <w:lang w:eastAsia="ja-JP"/>
        </w:rPr>
      </w:pPr>
    </w:p>
    <w:tbl>
      <w:tblPr>
        <w:tblStyle w:val="TableGrid"/>
        <w:tblpPr w:leftFromText="180" w:rightFromText="180" w:vertAnchor="page" w:horzAnchor="page" w:tblpX="626" w:tblpY="2056"/>
        <w:tblW w:w="19220" w:type="dxa"/>
        <w:tblLayout w:type="fixed"/>
        <w:tblLook w:val="04A0" w:firstRow="1" w:lastRow="0" w:firstColumn="1" w:lastColumn="0" w:noHBand="0" w:noVBand="1"/>
      </w:tblPr>
      <w:tblGrid>
        <w:gridCol w:w="3650"/>
        <w:gridCol w:w="2880"/>
        <w:gridCol w:w="3813"/>
        <w:gridCol w:w="3207"/>
        <w:gridCol w:w="2747"/>
        <w:gridCol w:w="2923"/>
      </w:tblGrid>
      <w:tr w:rsidR="00EB2605" w:rsidRPr="00EB2605" w14:paraId="57E81C08" w14:textId="77777777" w:rsidTr="00EB04B5">
        <w:trPr>
          <w:trHeight w:val="755"/>
          <w:tblHeader/>
        </w:trPr>
        <w:tc>
          <w:tcPr>
            <w:tcW w:w="19220" w:type="dxa"/>
            <w:gridSpan w:val="6"/>
          </w:tcPr>
          <w:p w14:paraId="57E81C04" w14:textId="77777777" w:rsidR="00B02BB0" w:rsidRDefault="00D93826" w:rsidP="00EB04B5">
            <w:pPr>
              <w:tabs>
                <w:tab w:val="left" w:pos="1792"/>
              </w:tabs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</w:pPr>
            <w:r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2017-2020</w:t>
            </w:r>
          </w:p>
          <w:p w14:paraId="57E81C05" w14:textId="77777777" w:rsidR="002C25A4" w:rsidRPr="00EB3A76" w:rsidRDefault="00BA0FB7" w:rsidP="00EB04B5">
            <w:pPr>
              <w:tabs>
                <w:tab w:val="left" w:pos="1792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</w:pPr>
            <w:r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PL</w:t>
            </w:r>
            <w:r w:rsidR="00612288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W</w:t>
            </w:r>
            <w:r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EP</w:t>
            </w:r>
            <w:r w:rsidR="00517826"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 xml:space="preserve"> #2</w:t>
            </w:r>
            <w:r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 xml:space="preserve"> </w:t>
            </w:r>
            <w:r w:rsidR="001244A7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(3 years</w:t>
            </w:r>
            <w:r w:rsidR="002C25A4"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 xml:space="preserve">) </w:t>
            </w:r>
            <w:r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(</w:t>
            </w:r>
            <w:r w:rsidR="00EB2605"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SIP Priority</w:t>
            </w:r>
            <w:r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)</w:t>
            </w:r>
            <w:r w:rsidR="00EB2605" w:rsidRPr="00EB3A76">
              <w:rPr>
                <w:rFonts w:asciiTheme="majorHAnsi" w:hAnsiTheme="majorHAnsi" w:cs="Arial"/>
                <w:color w:val="000000" w:themeColor="text1"/>
                <w:sz w:val="22"/>
                <w:lang w:eastAsia="ja-JP"/>
              </w:rPr>
              <w:t xml:space="preserve">:  </w:t>
            </w:r>
            <w:r w:rsidR="00A8016C" w:rsidRPr="00EB3A76">
              <w:rPr>
                <w:rFonts w:asciiTheme="majorHAnsi" w:hAnsiTheme="majorHAnsi" w:cs="Arial"/>
                <w:color w:val="000000" w:themeColor="text1"/>
                <w:sz w:val="22"/>
                <w:lang w:eastAsia="ja-JP"/>
              </w:rPr>
              <w:t xml:space="preserve">  </w:t>
            </w:r>
            <w:r w:rsidR="00A8016C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School Climate</w:t>
            </w:r>
            <w:r w:rsidR="007B0AB7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FD63F0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– </w:t>
            </w:r>
            <w:r w:rsidR="00206753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NHS is a diverse community. </w:t>
            </w:r>
            <w:r w:rsidR="00FD63F0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We strive to make </w:t>
            </w:r>
            <w:r w:rsidR="00206753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it safe and secure </w:t>
            </w:r>
            <w:r w:rsidR="00FD63F0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place where all students attend regularly</w:t>
            </w:r>
            <w:r w:rsidR="00206753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and </w:t>
            </w:r>
            <w:r w:rsidR="00FD63F0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all members</w:t>
            </w:r>
          </w:p>
          <w:p w14:paraId="57E81C06" w14:textId="77777777" w:rsidR="008271FD" w:rsidRPr="00EB3A76" w:rsidRDefault="002C25A4" w:rsidP="00EB04B5">
            <w:pPr>
              <w:tabs>
                <w:tab w:val="left" w:pos="1792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</w:pPr>
            <w:r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(</w:t>
            </w:r>
            <w:r w:rsidR="007309AE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>Aligned</w:t>
            </w:r>
            <w:r w:rsidR="00EB3A76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with SIP Priority # 2 – Student </w:t>
            </w:r>
            <w:proofErr w:type="gramStart"/>
            <w:r w:rsidR="00EB3A76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>Engagement)</w:t>
            </w:r>
            <w:r w:rsidR="00EB3A76" w:rsidRPr="002854BD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 </w:t>
            </w:r>
            <w:proofErr w:type="gramEnd"/>
            <w:r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          </w:t>
            </w:r>
            <w:r w:rsidR="00FD63F0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treat each other with dignity and respect</w:t>
            </w:r>
            <w:r w:rsidR="00206753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14:paraId="57E81C07" w14:textId="77777777" w:rsidR="00EB2605" w:rsidRPr="00EB3A76" w:rsidRDefault="009C67CB" w:rsidP="00EB04B5">
            <w:pPr>
              <w:tabs>
                <w:tab w:val="left" w:pos="1792"/>
              </w:tabs>
              <w:rPr>
                <w:rFonts w:asciiTheme="majorHAnsi" w:hAnsiTheme="majorHAnsi" w:cs="Arial"/>
                <w:color w:val="000000" w:themeColor="text1"/>
                <w:sz w:val="22"/>
                <w:lang w:eastAsia="ja-JP"/>
              </w:rPr>
            </w:pPr>
            <w:r w:rsidRPr="00EB3A76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 xml:space="preserve"> </w:t>
            </w:r>
          </w:p>
        </w:tc>
      </w:tr>
      <w:tr w:rsidR="00EB2605" w:rsidRPr="00EB2605" w14:paraId="57E81C0B" w14:textId="77777777" w:rsidTr="00EB04B5">
        <w:trPr>
          <w:trHeight w:val="881"/>
          <w:tblHeader/>
        </w:trPr>
        <w:tc>
          <w:tcPr>
            <w:tcW w:w="19220" w:type="dxa"/>
            <w:gridSpan w:val="6"/>
          </w:tcPr>
          <w:p w14:paraId="57E81C09" w14:textId="77777777" w:rsidR="007C4847" w:rsidRPr="00EB3A76" w:rsidRDefault="00EB2605" w:rsidP="00EB04B5">
            <w:pPr>
              <w:tabs>
                <w:tab w:val="left" w:pos="1775"/>
              </w:tabs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SMART Goal</w:t>
            </w:r>
            <w:r w:rsidR="002C25A4"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 xml:space="preserve"> (</w:t>
            </w:r>
            <w:r w:rsidR="001244A7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1</w:t>
            </w:r>
            <w:proofErr w:type="gramStart"/>
            <w:r w:rsidR="001244A7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st</w:t>
            </w:r>
            <w:r w:rsidR="00517826"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 xml:space="preserve"> </w:t>
            </w:r>
            <w:r w:rsidR="002C25A4"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 xml:space="preserve"> year</w:t>
            </w:r>
            <w:proofErr w:type="gramEnd"/>
            <w:r w:rsidR="002C25A4"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>)</w:t>
            </w:r>
            <w:r w:rsidR="007B0AB7" w:rsidRPr="00EB3A76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lang w:eastAsia="ja-JP"/>
              </w:rPr>
              <w:t xml:space="preserve">: </w:t>
            </w:r>
            <w:r w:rsidR="007C4847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Pro-Social Behaviors</w:t>
            </w:r>
          </w:p>
          <w:p w14:paraId="57E81C0A" w14:textId="4E2C0902" w:rsidR="009C67CB" w:rsidRPr="00EB3A76" w:rsidRDefault="007B0AB7" w:rsidP="00EB04B5">
            <w:pPr>
              <w:tabs>
                <w:tab w:val="left" w:pos="1775"/>
              </w:tabs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Over the 201</w:t>
            </w:r>
            <w:r w:rsidR="007309A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7-2020</w:t>
            </w:r>
            <w:r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school yea</w:t>
            </w:r>
            <w:r w:rsidR="00461D7D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r</w:t>
            </w:r>
            <w:r w:rsidR="00A8016C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s</w:t>
            </w:r>
            <w:r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, NHS staff will teach, model and monitor positive social behaviours</w:t>
            </w:r>
            <w:r w:rsidR="00365011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for students.  There will be consistency in recording and reporting incidents of student misbehaviour.  </w:t>
            </w:r>
            <w:proofErr w:type="gramStart"/>
            <w:r w:rsidR="00365011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Consequently</w:t>
            </w:r>
            <w:proofErr w:type="gramEnd"/>
            <w:r w:rsidR="00365011"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we will see </w:t>
            </w:r>
            <w:r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a decrease in defiant and disres</w:t>
            </w:r>
            <w:r w:rsidR="007309A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pectful behaviours by 10%.  Power School Behavior Summary Data: </w:t>
            </w:r>
            <w:r w:rsidR="00F84289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123</w:t>
            </w:r>
            <w:r w:rsidR="007309A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 xml:space="preserve"> incidents in 201</w:t>
            </w:r>
            <w:r w:rsidR="00F84289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8</w:t>
            </w:r>
            <w:r w:rsidR="007309A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-201</w:t>
            </w:r>
            <w:r w:rsidR="00F84289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9</w:t>
            </w:r>
            <w:r w:rsidRPr="00EB3A7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ja-JP"/>
              </w:rPr>
              <w:t>.</w:t>
            </w:r>
            <w:r w:rsidRPr="00EB3A7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ja-JP"/>
              </w:rPr>
              <w:t xml:space="preserve">             </w:t>
            </w:r>
            <w:r w:rsidRPr="00EB3A76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 xml:space="preserve">           </w:t>
            </w:r>
          </w:p>
        </w:tc>
      </w:tr>
      <w:tr w:rsidR="00EB2605" w:rsidRPr="00EB2605" w14:paraId="57E81C12" w14:textId="77777777" w:rsidTr="00EB04B5">
        <w:trPr>
          <w:trHeight w:val="638"/>
          <w:tblHeader/>
        </w:trPr>
        <w:tc>
          <w:tcPr>
            <w:tcW w:w="3650" w:type="dxa"/>
            <w:vAlign w:val="center"/>
          </w:tcPr>
          <w:p w14:paraId="57E81C0C" w14:textId="77777777" w:rsidR="00EB2605" w:rsidRPr="00EB2605" w:rsidRDefault="00EB2605" w:rsidP="00EB04B5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Baseline Data</w:t>
            </w:r>
          </w:p>
        </w:tc>
        <w:tc>
          <w:tcPr>
            <w:tcW w:w="2880" w:type="dxa"/>
            <w:vAlign w:val="center"/>
          </w:tcPr>
          <w:p w14:paraId="57E81C0D" w14:textId="77777777" w:rsidR="00EB2605" w:rsidRPr="00EB2605" w:rsidRDefault="00EB2605" w:rsidP="00EB04B5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Indicators of Success</w:t>
            </w:r>
          </w:p>
        </w:tc>
        <w:tc>
          <w:tcPr>
            <w:tcW w:w="3813" w:type="dxa"/>
            <w:vAlign w:val="center"/>
          </w:tcPr>
          <w:p w14:paraId="57E81C0E" w14:textId="77777777" w:rsidR="00EB2605" w:rsidRPr="00EB2605" w:rsidRDefault="00EB2605" w:rsidP="00EB04B5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Targeted Research-Based Strategies / Actions</w:t>
            </w:r>
          </w:p>
        </w:tc>
        <w:tc>
          <w:tcPr>
            <w:tcW w:w="3207" w:type="dxa"/>
            <w:vAlign w:val="center"/>
          </w:tcPr>
          <w:p w14:paraId="57E81C0F" w14:textId="77777777" w:rsidR="00EB2605" w:rsidRPr="00EB2605" w:rsidRDefault="00EB2605" w:rsidP="00EB04B5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Monitoring and Accountability</w:t>
            </w:r>
          </w:p>
        </w:tc>
        <w:tc>
          <w:tcPr>
            <w:tcW w:w="2747" w:type="dxa"/>
            <w:vAlign w:val="center"/>
          </w:tcPr>
          <w:p w14:paraId="57E81C10" w14:textId="77777777" w:rsidR="00EB2605" w:rsidRPr="00EB2605" w:rsidRDefault="00EB2605" w:rsidP="00EB04B5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Responsibility / Timeline</w:t>
            </w:r>
          </w:p>
        </w:tc>
        <w:tc>
          <w:tcPr>
            <w:tcW w:w="2923" w:type="dxa"/>
            <w:vAlign w:val="center"/>
          </w:tcPr>
          <w:p w14:paraId="57E81C11" w14:textId="77777777" w:rsidR="00EB2605" w:rsidRPr="00EB2605" w:rsidRDefault="00EB2605" w:rsidP="00EB04B5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Progress Notes</w:t>
            </w:r>
          </w:p>
        </w:tc>
      </w:tr>
      <w:tr w:rsidR="00EB2605" w:rsidRPr="00EB2605" w14:paraId="57E81C19" w14:textId="77777777" w:rsidTr="00EB04B5">
        <w:trPr>
          <w:trHeight w:val="1232"/>
        </w:trPr>
        <w:tc>
          <w:tcPr>
            <w:tcW w:w="3650" w:type="dxa"/>
          </w:tcPr>
          <w:p w14:paraId="57E81C13" w14:textId="77777777" w:rsidR="00EB2605" w:rsidRPr="000E1DE3" w:rsidRDefault="00EB2605" w:rsidP="00EB04B5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0E1DE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How do you know action is needed?  What does the data tell you? Why is this goal necessary?</w:t>
            </w:r>
          </w:p>
        </w:tc>
        <w:tc>
          <w:tcPr>
            <w:tcW w:w="2880" w:type="dxa"/>
          </w:tcPr>
          <w:p w14:paraId="57E81C14" w14:textId="77777777" w:rsidR="00EB2605" w:rsidRPr="000E1DE3" w:rsidRDefault="00EB2605" w:rsidP="00EB04B5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0E1DE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What will you see at the school /classroom level from students and staff?</w:t>
            </w:r>
          </w:p>
        </w:tc>
        <w:tc>
          <w:tcPr>
            <w:tcW w:w="3813" w:type="dxa"/>
          </w:tcPr>
          <w:p w14:paraId="57E81C15" w14:textId="77777777" w:rsidR="00EB2605" w:rsidRPr="000E1DE3" w:rsidRDefault="00EB2605" w:rsidP="00EB04B5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0E1DE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What specific strategies will be implemented?</w:t>
            </w:r>
          </w:p>
        </w:tc>
        <w:tc>
          <w:tcPr>
            <w:tcW w:w="3207" w:type="dxa"/>
          </w:tcPr>
          <w:p w14:paraId="57E81C16" w14:textId="77777777" w:rsidR="00EB2605" w:rsidRPr="000E1DE3" w:rsidRDefault="00EB2605" w:rsidP="00EB04B5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0E1DE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What will the ongoing review look like? Who is working on it and when? How will it be shared?</w:t>
            </w:r>
          </w:p>
        </w:tc>
        <w:tc>
          <w:tcPr>
            <w:tcW w:w="2747" w:type="dxa"/>
          </w:tcPr>
          <w:p w14:paraId="57E81C17" w14:textId="77777777" w:rsidR="00EB2605" w:rsidRPr="000E1DE3" w:rsidRDefault="00EB2605" w:rsidP="00EB04B5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0E1DE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Who is working on the strategy and when will it be implemented?</w:t>
            </w:r>
          </w:p>
        </w:tc>
        <w:tc>
          <w:tcPr>
            <w:tcW w:w="2923" w:type="dxa"/>
          </w:tcPr>
          <w:p w14:paraId="57E81C18" w14:textId="77777777" w:rsidR="00EB2605" w:rsidRPr="00EB2605" w:rsidRDefault="00EB2605" w:rsidP="00EB04B5">
            <w:pPr>
              <w:spacing w:before="60"/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</w:pPr>
          </w:p>
        </w:tc>
      </w:tr>
      <w:tr w:rsidR="00CB37D2" w:rsidRPr="00342221" w14:paraId="57E81C66" w14:textId="77777777" w:rsidTr="00593F61">
        <w:trPr>
          <w:trHeight w:hRule="exact" w:val="3220"/>
        </w:trPr>
        <w:tc>
          <w:tcPr>
            <w:tcW w:w="3650" w:type="dxa"/>
            <w:vMerge w:val="restart"/>
          </w:tcPr>
          <w:p w14:paraId="57E81C1A" w14:textId="75C30583" w:rsidR="00CB37D2" w:rsidRPr="00342221" w:rsidRDefault="00CB37D2" w:rsidP="002B6A14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201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8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-1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9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Power School Behaviour tracking data indicates that defiance (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66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)/Disrespect (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57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) behaviours were amongst our highest incidents. </w:t>
            </w:r>
          </w:p>
          <w:p w14:paraId="57E81C1B" w14:textId="77777777" w:rsidR="00CB37D2" w:rsidRPr="00342221" w:rsidRDefault="00CB37D2" w:rsidP="0020796D">
            <w:pPr>
              <w:ind w:left="247" w:hanging="27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1C" w14:textId="09E54233" w:rsidR="00CB37D2" w:rsidRPr="00342221" w:rsidRDefault="00CB37D2" w:rsidP="002B6A14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201</w:t>
            </w:r>
            <w:r w:rsidR="00675BB7">
              <w:rPr>
                <w:rFonts w:asciiTheme="majorHAnsi" w:hAnsiTheme="majorHAnsi" w:cs="Arial"/>
                <w:sz w:val="18"/>
                <w:szCs w:val="18"/>
                <w:lang w:eastAsia="ja-JP"/>
              </w:rPr>
              <w:t>8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-1</w:t>
            </w:r>
            <w:r w:rsidR="00675BB7">
              <w:rPr>
                <w:rFonts w:asciiTheme="majorHAnsi" w:hAnsiTheme="majorHAnsi" w:cs="Arial"/>
                <w:sz w:val="18"/>
                <w:szCs w:val="18"/>
                <w:lang w:eastAsia="ja-JP"/>
              </w:rPr>
              <w:t>9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Power School Behavior data indicates Failure to Comply with School Code of Conduct (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65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) as one of our highest incidents of misbehavior</w:t>
            </w:r>
          </w:p>
          <w:p w14:paraId="57E81C1D" w14:textId="77777777" w:rsidR="00CB37D2" w:rsidRPr="00342221" w:rsidRDefault="00CB37D2" w:rsidP="0020796D">
            <w:pPr>
              <w:ind w:left="247" w:hanging="27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1E" w14:textId="77777777" w:rsidR="00CB37D2" w:rsidRPr="00342221" w:rsidRDefault="00CB37D2" w:rsidP="002B6A14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2016-17 Our School Data indicated 92% of students do not get into trouble at school for disruptive or inappropriate behavior. Canadian norm is 88%. Indicating a small percentage of students are accounting for the number of discipline incidents recorded in Power School data</w:t>
            </w:r>
          </w:p>
          <w:p w14:paraId="57E81C1F" w14:textId="77777777" w:rsidR="00CB37D2" w:rsidRPr="00342221" w:rsidRDefault="00CB37D2" w:rsidP="00EB04B5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20" w14:textId="77777777" w:rsidR="00CB37D2" w:rsidRPr="00342221" w:rsidRDefault="00CB37D2" w:rsidP="00EB04B5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21" w14:textId="77777777" w:rsidR="00CB37D2" w:rsidRPr="00342221" w:rsidRDefault="00CB37D2" w:rsidP="00EB04B5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22" w14:textId="77777777" w:rsidR="00CB37D2" w:rsidRPr="00342221" w:rsidRDefault="00CB37D2" w:rsidP="00EB04B5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23" w14:textId="77777777" w:rsidR="00CB37D2" w:rsidRPr="00342221" w:rsidRDefault="00CB37D2" w:rsidP="00EB04B5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24" w14:textId="77777777" w:rsidR="00CB37D2" w:rsidRPr="00342221" w:rsidRDefault="00CB37D2" w:rsidP="00EB04B5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25" w14:textId="77777777" w:rsidR="00CB37D2" w:rsidRPr="00342221" w:rsidRDefault="00CB37D2" w:rsidP="00EB04B5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57E81C26" w14:textId="77777777" w:rsidR="00CB37D2" w:rsidRPr="00342221" w:rsidRDefault="00CB37D2" w:rsidP="002B6A14">
            <w:pPr>
              <w:pStyle w:val="ListParagraph"/>
              <w:numPr>
                <w:ilvl w:val="0"/>
                <w:numId w:val="1"/>
              </w:numPr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More respectful behaviour at</w:t>
            </w:r>
          </w:p>
          <w:p w14:paraId="57E81C27" w14:textId="77777777" w:rsidR="00CB37D2" w:rsidRPr="00342221" w:rsidRDefault="00CB37D2" w:rsidP="0020796D">
            <w:pPr>
              <w:pStyle w:val="ListParagraph"/>
              <w:ind w:left="197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proofErr w:type="gramStart"/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NHS,</w:t>
            </w:r>
            <w:proofErr w:type="gramEnd"/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modelled by all adults in the building through PBIS work.</w:t>
            </w:r>
          </w:p>
          <w:p w14:paraId="57E81C28" w14:textId="77777777" w:rsidR="00CB37D2" w:rsidRPr="00342221" w:rsidRDefault="00CB37D2" w:rsidP="0020796D">
            <w:pPr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2B" w14:textId="77777777" w:rsidR="00CB37D2" w:rsidRPr="00342221" w:rsidRDefault="00CB37D2" w:rsidP="0020796D">
            <w:pPr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2F" w14:textId="77777777" w:rsidR="00CB37D2" w:rsidRPr="00342221" w:rsidRDefault="00CB37D2" w:rsidP="001D66F7">
            <w:pPr>
              <w:pStyle w:val="ListParagraph"/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813" w:type="dxa"/>
          </w:tcPr>
          <w:p w14:paraId="57E81C40" w14:textId="2C17BE4C" w:rsidR="00CB37D2" w:rsidRDefault="00CB37D2" w:rsidP="00B875E9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B875E9">
              <w:rPr>
                <w:rFonts w:asciiTheme="majorHAnsi" w:hAnsiTheme="majorHAnsi" w:cs="Arial"/>
                <w:sz w:val="18"/>
                <w:szCs w:val="18"/>
                <w:lang w:eastAsia="ja-JP"/>
              </w:rPr>
              <w:t>Teach pro-social behaviors through use of video announcements.</w:t>
            </w:r>
          </w:p>
          <w:p w14:paraId="25EC3344" w14:textId="0D85FB1A" w:rsidR="00FB1641" w:rsidRPr="00B875E9" w:rsidRDefault="00FB1641" w:rsidP="00593F61">
            <w:pPr>
              <w:pStyle w:val="ListParagraph"/>
              <w:ind w:left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Could these be done at assemblies?</w:t>
            </w:r>
          </w:p>
          <w:p w14:paraId="57E81C43" w14:textId="77777777" w:rsidR="00CB37D2" w:rsidRPr="00342221" w:rsidRDefault="00CB37D2" w:rsidP="0020796D">
            <w:pPr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44" w14:textId="77777777" w:rsidR="00CB37D2" w:rsidRPr="00342221" w:rsidRDefault="00CB37D2" w:rsidP="002B6A14">
            <w:pPr>
              <w:pStyle w:val="ListParagraph"/>
              <w:numPr>
                <w:ilvl w:val="0"/>
                <w:numId w:val="3"/>
              </w:numPr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Staff Member of the Month – recognized in our admin meetings each month.</w:t>
            </w:r>
          </w:p>
          <w:p w14:paraId="57E81C45" w14:textId="77777777" w:rsidR="00CB37D2" w:rsidRPr="00342221" w:rsidRDefault="00CB37D2" w:rsidP="0020796D">
            <w:pPr>
              <w:pStyle w:val="ListParagraph"/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46" w14:textId="5FA5362E" w:rsidR="00CB37D2" w:rsidRDefault="00CB37D2" w:rsidP="002B6A14">
            <w:pPr>
              <w:pStyle w:val="ListParagraph"/>
              <w:numPr>
                <w:ilvl w:val="0"/>
                <w:numId w:val="3"/>
              </w:numPr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PBIS (student/adult) Leadership team working towards improving the adult behavior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and relationships through PBIS model.</w:t>
            </w:r>
          </w:p>
          <w:p w14:paraId="3CACACA9" w14:textId="77777777" w:rsidR="00CB37D2" w:rsidRPr="00CB37D2" w:rsidRDefault="00CB37D2" w:rsidP="00CB37D2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01C671D" w14:textId="0228E6E0" w:rsidR="00CB37D2" w:rsidRPr="00342221" w:rsidRDefault="00CB37D2" w:rsidP="002B6A14">
            <w:pPr>
              <w:pStyle w:val="ListParagraph"/>
              <w:numPr>
                <w:ilvl w:val="0"/>
                <w:numId w:val="3"/>
              </w:numPr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PBIS Behaviour Matrix to be developed</w:t>
            </w:r>
          </w:p>
          <w:p w14:paraId="57E81C47" w14:textId="77777777" w:rsidR="00CB37D2" w:rsidRPr="00342221" w:rsidRDefault="00CB37D2" w:rsidP="0020796D">
            <w:pPr>
              <w:pStyle w:val="ListParagraph"/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48" w14:textId="77777777" w:rsidR="00CB37D2" w:rsidRPr="00342221" w:rsidRDefault="00CB37D2" w:rsidP="0020796D">
            <w:pPr>
              <w:pStyle w:val="ListParagraph"/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49" w14:textId="77777777" w:rsidR="00CB37D2" w:rsidRPr="00342221" w:rsidRDefault="00CB37D2" w:rsidP="0020796D">
            <w:pPr>
              <w:pStyle w:val="ListParagraph"/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4A" w14:textId="77777777" w:rsidR="00CB37D2" w:rsidRPr="00342221" w:rsidRDefault="00CB37D2" w:rsidP="0020796D">
            <w:pPr>
              <w:pStyle w:val="ListParagraph"/>
              <w:ind w:left="197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207" w:type="dxa"/>
          </w:tcPr>
          <w:p w14:paraId="57E81C4B" w14:textId="77777777" w:rsidR="00CB37D2" w:rsidRPr="00342221" w:rsidRDefault="00CB37D2" w:rsidP="002B6A14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Guidance to develop a plan for teaching pro-social behaviors – teachers and SLG to assist as appropriate (in-service teachers first then have Advisors work with students)</w:t>
            </w:r>
          </w:p>
          <w:p w14:paraId="57E81C4C" w14:textId="77777777" w:rsidR="00CB37D2" w:rsidRPr="00342221" w:rsidRDefault="00CB37D2" w:rsidP="007A68DD">
            <w:pPr>
              <w:pStyle w:val="ListParagraph"/>
              <w:ind w:left="164" w:hanging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4E" w14:textId="779F0F38" w:rsidR="00CB37D2" w:rsidRPr="00342221" w:rsidRDefault="00CB37D2" w:rsidP="00057D8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PBIS Team to continue focus on positive adult relationships in the building. </w:t>
            </w:r>
            <w:r w:rsidR="00FB1641"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Now student-staff</w:t>
            </w:r>
          </w:p>
          <w:p w14:paraId="57E81C50" w14:textId="77777777" w:rsidR="00CB37D2" w:rsidRPr="00342221" w:rsidRDefault="00CB37D2" w:rsidP="007A68DD">
            <w:pPr>
              <w:pStyle w:val="ListParagraph"/>
              <w:ind w:left="164" w:hanging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51" w14:textId="77777777" w:rsidR="00CB37D2" w:rsidRPr="00342221" w:rsidRDefault="00CB37D2" w:rsidP="00CB6FF0">
            <w:pPr>
              <w:pStyle w:val="ListParagraph"/>
              <w:ind w:left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52" w14:textId="77777777" w:rsidR="00CB37D2" w:rsidRPr="00342221" w:rsidRDefault="00CB37D2" w:rsidP="00CB6FF0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53" w14:textId="77777777" w:rsidR="00CB37D2" w:rsidRPr="00342221" w:rsidRDefault="00CB37D2" w:rsidP="00CB6FF0">
            <w:pPr>
              <w:pStyle w:val="ListParagraph"/>
              <w:ind w:left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55" w14:textId="77777777" w:rsidR="00CB37D2" w:rsidRPr="00342221" w:rsidRDefault="00CB37D2" w:rsidP="00523C70">
            <w:pPr>
              <w:pStyle w:val="ListParagraph"/>
              <w:ind w:left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747" w:type="dxa"/>
          </w:tcPr>
          <w:p w14:paraId="0EDD5B9D" w14:textId="77777777" w:rsidR="00CB37D2" w:rsidRDefault="00CB37D2" w:rsidP="00A36FF7">
            <w:pPr>
              <w:pStyle w:val="ListParagraph"/>
              <w:numPr>
                <w:ilvl w:val="0"/>
                <w:numId w:val="3"/>
              </w:num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057D82">
              <w:rPr>
                <w:rFonts w:asciiTheme="majorHAnsi" w:hAnsiTheme="majorHAnsi" w:cs="Arial"/>
                <w:sz w:val="18"/>
                <w:szCs w:val="18"/>
                <w:lang w:eastAsia="ja-JP"/>
              </w:rPr>
              <w:t>PBIS Team</w:t>
            </w:r>
          </w:p>
          <w:p w14:paraId="55B88E90" w14:textId="77777777" w:rsidR="00CB37D2" w:rsidRDefault="00CB37D2" w:rsidP="00057D82">
            <w:pPr>
              <w:pStyle w:val="ListParagraph"/>
              <w:ind w:left="287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59" w14:textId="2B2F0B81" w:rsidR="00CB37D2" w:rsidRPr="00057D82" w:rsidRDefault="00CB37D2" w:rsidP="00A36FF7">
            <w:pPr>
              <w:pStyle w:val="ListParagraph"/>
              <w:numPr>
                <w:ilvl w:val="0"/>
                <w:numId w:val="3"/>
              </w:numPr>
              <w:ind w:left="19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057D82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Guidance with assistance from district leads.  </w:t>
            </w:r>
            <w:r w:rsidR="00593F61"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Has there been district leads involved?</w:t>
            </w:r>
          </w:p>
          <w:p w14:paraId="57E81C5A" w14:textId="77777777" w:rsidR="00CB37D2" w:rsidRPr="00342221" w:rsidRDefault="00CB37D2" w:rsidP="00CB6FF0">
            <w:pPr>
              <w:pStyle w:val="ListParagraph"/>
              <w:ind w:left="287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5B" w14:textId="77777777" w:rsidR="00CB37D2" w:rsidRPr="00342221" w:rsidRDefault="00CB37D2" w:rsidP="00A36FF7">
            <w:pPr>
              <w:pStyle w:val="ListParagraph"/>
              <w:numPr>
                <w:ilvl w:val="0"/>
                <w:numId w:val="4"/>
              </w:num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Teachers and Admin</w:t>
            </w:r>
          </w:p>
          <w:p w14:paraId="57E81C5C" w14:textId="77777777" w:rsidR="00CB37D2" w:rsidRPr="00342221" w:rsidRDefault="00CB37D2" w:rsidP="007A68DD">
            <w:pPr>
              <w:ind w:left="287" w:hanging="27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5E" w14:textId="77777777" w:rsidR="00CB37D2" w:rsidRPr="00342221" w:rsidRDefault="00CB37D2" w:rsidP="00CB37D2">
            <w:pPr>
              <w:pStyle w:val="ListParagraph"/>
              <w:numPr>
                <w:ilvl w:val="0"/>
                <w:numId w:val="3"/>
              </w:num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Admin/PBIS Leadership Team to integrate PL throughout the year specific to targeted behaviors on designated PL Days.</w:t>
            </w:r>
          </w:p>
          <w:p w14:paraId="57E81C5F" w14:textId="77777777" w:rsidR="00CB37D2" w:rsidRPr="00342221" w:rsidRDefault="00CB37D2" w:rsidP="00A36FF7">
            <w:pPr>
              <w:ind w:left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60" w14:textId="77777777" w:rsidR="00CB37D2" w:rsidRPr="00342221" w:rsidRDefault="00CB37D2" w:rsidP="00CB6FF0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61" w14:textId="77777777" w:rsidR="00CB37D2" w:rsidRPr="00342221" w:rsidRDefault="00CB37D2" w:rsidP="00CB6FF0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62" w14:textId="77777777" w:rsidR="00CB37D2" w:rsidRPr="00342221" w:rsidRDefault="00CB37D2" w:rsidP="00CB6FF0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64" w14:textId="77777777" w:rsidR="00CB37D2" w:rsidRPr="00342221" w:rsidRDefault="00CB37D2" w:rsidP="007C425B">
            <w:pPr>
              <w:pStyle w:val="ListParagraph"/>
              <w:ind w:left="229"/>
              <w:rPr>
                <w:lang w:eastAsia="ja-JP"/>
              </w:rPr>
            </w:pPr>
          </w:p>
        </w:tc>
        <w:tc>
          <w:tcPr>
            <w:tcW w:w="2923" w:type="dxa"/>
          </w:tcPr>
          <w:p w14:paraId="61F3C3A3" w14:textId="762DBDDE" w:rsidR="00CB37D2" w:rsidRDefault="00CB37D2" w:rsidP="00455788">
            <w:pPr>
              <w:pStyle w:val="ListParagraph"/>
              <w:numPr>
                <w:ilvl w:val="0"/>
                <w:numId w:val="4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PBIS Team Book Study 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to continue.</w:t>
            </w:r>
          </w:p>
          <w:p w14:paraId="0BA505ED" w14:textId="77777777" w:rsidR="00CB37D2" w:rsidRPr="00FB1641" w:rsidRDefault="00CB37D2" w:rsidP="00FB1641">
            <w:pPr>
              <w:spacing w:before="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05B623EE" w14:textId="143B280B" w:rsidR="00CB37D2" w:rsidRDefault="00CB37D2" w:rsidP="00455788">
            <w:pPr>
              <w:pStyle w:val="ListParagraph"/>
              <w:numPr>
                <w:ilvl w:val="0"/>
                <w:numId w:val="4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PBIS Grade 9 Support Plan was implemented.</w:t>
            </w:r>
          </w:p>
          <w:p w14:paraId="3C7BFC26" w14:textId="77777777" w:rsidR="003C7B61" w:rsidRPr="00342221" w:rsidRDefault="003C7B61" w:rsidP="00455788">
            <w:pPr>
              <w:pStyle w:val="ListParagraph"/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214056FB" w14:textId="4BCE9372" w:rsidR="00455788" w:rsidRPr="00FB1641" w:rsidRDefault="00455788" w:rsidP="00455788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PBIS Behaviour Matrix under development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….revision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process underway.</w:t>
            </w:r>
          </w:p>
          <w:p w14:paraId="4EFB69F5" w14:textId="7D0D2171" w:rsidR="00FB1641" w:rsidRDefault="00FB1641" w:rsidP="00FB1641">
            <w:pPr>
              <w:spacing w:before="60"/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Video announcements have not been used for pro-social behav</w:t>
            </w:r>
            <w:r w:rsidR="00593F61"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iour</w:t>
            </w:r>
            <w:r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.</w:t>
            </w:r>
          </w:p>
          <w:p w14:paraId="3DFA629F" w14:textId="7B7A42DF" w:rsidR="00FB1641" w:rsidRPr="00FB1641" w:rsidRDefault="00593F61" w:rsidP="00FB1641">
            <w:pPr>
              <w:spacing w:before="60"/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Vision Statement with Ardith?</w:t>
            </w:r>
          </w:p>
          <w:p w14:paraId="3C55A6C9" w14:textId="77777777" w:rsidR="00455788" w:rsidRDefault="00455788" w:rsidP="00455788">
            <w:pPr>
              <w:spacing w:before="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49FA979E" w14:textId="73748F79" w:rsidR="00CB37D2" w:rsidRPr="00455788" w:rsidRDefault="00CB37D2" w:rsidP="00455788">
            <w:pPr>
              <w:spacing w:before="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2D976370" w14:textId="77777777" w:rsidR="00CB37D2" w:rsidRPr="00342221" w:rsidRDefault="00CB37D2" w:rsidP="004652AD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770F20A" w14:textId="77777777" w:rsidR="00CB37D2" w:rsidRPr="00342221" w:rsidRDefault="00CB37D2" w:rsidP="005A1418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129FA58C" w14:textId="77777777" w:rsidR="00CB37D2" w:rsidRPr="00342221" w:rsidRDefault="00CB37D2" w:rsidP="00463BB5">
            <w:pPr>
              <w:spacing w:before="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4F46B41" w14:textId="77777777" w:rsidR="00CB37D2" w:rsidRPr="00342221" w:rsidRDefault="00CB37D2" w:rsidP="001C53EA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40E14A99" w14:textId="77777777" w:rsidR="00CB37D2" w:rsidRPr="00342221" w:rsidRDefault="00CB37D2" w:rsidP="001C53EA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0B0AA2EB" w14:textId="77777777" w:rsidR="00CB37D2" w:rsidRPr="00342221" w:rsidRDefault="00CB37D2" w:rsidP="00A04B98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7E81C65" w14:textId="79FDC469" w:rsidR="00CB37D2" w:rsidRPr="00342221" w:rsidRDefault="00CB37D2" w:rsidP="00455788">
            <w:pPr>
              <w:pStyle w:val="ListParagraph"/>
              <w:spacing w:before="60"/>
              <w:ind w:left="737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</w:tr>
      <w:tr w:rsidR="00CB37D2" w:rsidRPr="00342221" w14:paraId="3DE1D4B7" w14:textId="77777777" w:rsidTr="00EB04B5">
        <w:trPr>
          <w:trHeight w:val="1232"/>
        </w:trPr>
        <w:tc>
          <w:tcPr>
            <w:tcW w:w="3650" w:type="dxa"/>
            <w:vMerge/>
          </w:tcPr>
          <w:p w14:paraId="13FB8ADA" w14:textId="77777777" w:rsidR="00CB37D2" w:rsidRPr="00342221" w:rsidRDefault="00CB37D2" w:rsidP="002B6A14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751432E7" w14:textId="77777777" w:rsidR="00CB37D2" w:rsidRPr="00342221" w:rsidRDefault="00CB37D2" w:rsidP="001D66F7">
            <w:pPr>
              <w:pStyle w:val="ListParagraph"/>
              <w:numPr>
                <w:ilvl w:val="0"/>
                <w:numId w:val="2"/>
              </w:num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Fewer incidents of disrespectful</w:t>
            </w:r>
          </w:p>
          <w:p w14:paraId="22F1BF5B" w14:textId="77777777" w:rsidR="00CB37D2" w:rsidRPr="00342221" w:rsidRDefault="00CB37D2" w:rsidP="001D66F7">
            <w:pPr>
              <w:pStyle w:val="ListParagraph"/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or defiant behaviour</w:t>
            </w:r>
          </w:p>
          <w:p w14:paraId="340A9C52" w14:textId="77777777" w:rsidR="00CB37D2" w:rsidRPr="00342221" w:rsidRDefault="00CB37D2" w:rsidP="001D66F7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813" w:type="dxa"/>
          </w:tcPr>
          <w:p w14:paraId="45A76CF1" w14:textId="77777777" w:rsidR="00CB37D2" w:rsidRPr="00342221" w:rsidRDefault="00CB37D2" w:rsidP="00CB37D2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IBS plans are reviewed by Guidance,</w:t>
            </w:r>
          </w:p>
          <w:p w14:paraId="430B29CD" w14:textId="77777777" w:rsidR="00CB37D2" w:rsidRPr="00342221" w:rsidRDefault="00CB37D2" w:rsidP="00CB37D2">
            <w:p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teachers, parents and students </w:t>
            </w:r>
          </w:p>
          <w:p w14:paraId="1E4F658E" w14:textId="77777777" w:rsidR="00CB37D2" w:rsidRPr="00342221" w:rsidRDefault="00CB37D2" w:rsidP="00CB37D2">
            <w:p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regularly and adjusted as needed</w:t>
            </w:r>
          </w:p>
          <w:p w14:paraId="461B6896" w14:textId="24882E51" w:rsidR="00CB37D2" w:rsidRDefault="00CB37D2" w:rsidP="00593F61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17659B84" w14:textId="77777777" w:rsidR="00CB37D2" w:rsidRDefault="00CB37D2" w:rsidP="00CB37D2">
            <w:p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4B44D144" w14:textId="300BD25F" w:rsidR="00CB37D2" w:rsidRDefault="00CB37D2" w:rsidP="00CB37D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Teach pro-social behaviors through use of video announcements.</w:t>
            </w:r>
          </w:p>
          <w:p w14:paraId="509261EC" w14:textId="77777777" w:rsidR="00CB37D2" w:rsidRPr="00342221" w:rsidRDefault="00CB37D2" w:rsidP="00CB37D2">
            <w:pPr>
              <w:pStyle w:val="ListParagraph"/>
              <w:spacing w:after="200" w:line="276" w:lineRule="auto"/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E250E1F" w14:textId="408B2977" w:rsidR="00CB37D2" w:rsidRDefault="00CB37D2" w:rsidP="00CB37D2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Monthly Assemblies- Recognition of all students through Nighthawk of the Month.</w:t>
            </w:r>
          </w:p>
          <w:p w14:paraId="052A430B" w14:textId="77777777" w:rsidR="00CB37D2" w:rsidRPr="00CB37D2" w:rsidRDefault="00CB37D2" w:rsidP="00CB37D2">
            <w:pPr>
              <w:pStyle w:val="ListParagraph"/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04B7E457" w14:textId="067F8722" w:rsidR="00CB37D2" w:rsidRDefault="00CB37D2" w:rsidP="00CB37D2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PBIS Behaviour Matrix to be developed</w:t>
            </w:r>
          </w:p>
          <w:p w14:paraId="0D4C834E" w14:textId="77777777" w:rsidR="00572EFD" w:rsidRPr="00572EFD" w:rsidRDefault="00572EFD" w:rsidP="00572EFD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56FCE5C" w14:textId="5FF1F040" w:rsidR="00572EFD" w:rsidRPr="00342221" w:rsidRDefault="00572EFD" w:rsidP="00CB37D2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lastRenderedPageBreak/>
              <w:t>Inclusive murals being painted around school this year.</w:t>
            </w:r>
          </w:p>
          <w:p w14:paraId="35C29711" w14:textId="77777777" w:rsidR="00CB37D2" w:rsidRPr="00342221" w:rsidRDefault="00CB37D2" w:rsidP="00CB37D2">
            <w:pPr>
              <w:pStyle w:val="ListParagraph"/>
              <w:ind w:left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161BC870" w14:textId="09D29555" w:rsidR="00CB37D2" w:rsidRPr="006A47AE" w:rsidRDefault="00CB37D2" w:rsidP="00CB37D2">
            <w:pPr>
              <w:pStyle w:val="ListParagraph"/>
              <w:ind w:left="196" w:hanging="196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207" w:type="dxa"/>
          </w:tcPr>
          <w:p w14:paraId="1A4586A4" w14:textId="1B20F4B1" w:rsidR="00CB37D2" w:rsidRDefault="00CB37D2" w:rsidP="00DE4AB5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lastRenderedPageBreak/>
              <w:t>Regular Guidance and ESST Monitoring of IBSPs.</w:t>
            </w:r>
          </w:p>
          <w:p w14:paraId="5A57E0EC" w14:textId="77777777" w:rsidR="00CB37D2" w:rsidRDefault="00CB37D2" w:rsidP="00057D82">
            <w:pPr>
              <w:pStyle w:val="ListParagraph"/>
              <w:ind w:left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AD1553E" w14:textId="371276FC" w:rsidR="00CB37D2" w:rsidRDefault="00CB37D2" w:rsidP="003B7915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BD6D13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Guidance to develop a plan for teaching pro-social behaviors – teachers and SLG to assist as appropriate </w:t>
            </w:r>
          </w:p>
          <w:p w14:paraId="689194D3" w14:textId="77777777" w:rsidR="00455788" w:rsidRPr="00455788" w:rsidRDefault="00455788" w:rsidP="00455788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A6B7C6F" w14:textId="77777777" w:rsidR="00455788" w:rsidRPr="00BD6D13" w:rsidRDefault="00455788" w:rsidP="00455788">
            <w:pPr>
              <w:pStyle w:val="ListParagraph"/>
              <w:ind w:left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5E5411D" w14:textId="27AFC157" w:rsidR="00CB37D2" w:rsidRPr="00342221" w:rsidRDefault="00CB37D2" w:rsidP="00523C70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PBIS Teams to d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iscuss with Journalism and Digital Productions 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class 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an approved weekly tip.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</w:p>
          <w:p w14:paraId="3741DEB5" w14:textId="75098FC8" w:rsidR="00CB37D2" w:rsidRDefault="00CB37D2" w:rsidP="00523C70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1613FC14" w14:textId="77777777" w:rsidR="00CB37D2" w:rsidRPr="00342221" w:rsidRDefault="00CB37D2" w:rsidP="00DE4AB5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lastRenderedPageBreak/>
              <w:t>Staff to nominate students for Nighthawk of the Month</w:t>
            </w:r>
          </w:p>
          <w:p w14:paraId="4C05AB4D" w14:textId="77777777" w:rsidR="00CB37D2" w:rsidRDefault="00CB37D2" w:rsidP="00DE4AB5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42E53193" w14:textId="1766F57D" w:rsidR="00572EFD" w:rsidRPr="00572EFD" w:rsidRDefault="00455788" w:rsidP="00455788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Leadership class and Art students to take lead</w:t>
            </w:r>
          </w:p>
        </w:tc>
        <w:tc>
          <w:tcPr>
            <w:tcW w:w="2747" w:type="dxa"/>
          </w:tcPr>
          <w:p w14:paraId="69805BF0" w14:textId="77777777" w:rsidR="00CB37D2" w:rsidRDefault="00CB37D2" w:rsidP="007C425B">
            <w:pPr>
              <w:pStyle w:val="ListParagraph"/>
              <w:numPr>
                <w:ilvl w:val="0"/>
                <w:numId w:val="3"/>
              </w:num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lastRenderedPageBreak/>
              <w:t>Guidance and ESST</w:t>
            </w:r>
          </w:p>
          <w:p w14:paraId="273BF6F4" w14:textId="77777777" w:rsidR="00CB37D2" w:rsidRDefault="00CB37D2" w:rsidP="007C425B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B1CCF69" w14:textId="77777777" w:rsidR="00CB37D2" w:rsidRDefault="00CB37D2" w:rsidP="007C425B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4B4DD978" w14:textId="3814CCA1" w:rsidR="00CB37D2" w:rsidRDefault="00CB37D2" w:rsidP="00BD6D1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Guidance and Staff</w:t>
            </w:r>
          </w:p>
          <w:p w14:paraId="10FB192E" w14:textId="2534FC52" w:rsidR="00CB37D2" w:rsidRDefault="00CB37D2" w:rsidP="00CB37D2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CC0995F" w14:textId="03C8CB93" w:rsidR="00CB37D2" w:rsidRDefault="00CB37D2" w:rsidP="00CB37D2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493675D5" w14:textId="6FF5B42A" w:rsidR="00CB37D2" w:rsidRPr="00CB37D2" w:rsidRDefault="00CB37D2" w:rsidP="00CB37D2">
            <w:pPr>
              <w:pStyle w:val="ListParagraph"/>
              <w:numPr>
                <w:ilvl w:val="0"/>
                <w:numId w:val="6"/>
              </w:num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PBIS Teams at Monthly Meetings</w:t>
            </w:r>
          </w:p>
          <w:p w14:paraId="00036F9C" w14:textId="77777777" w:rsidR="00CB37D2" w:rsidRDefault="00CB37D2" w:rsidP="007C425B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2F1E4ABB" w14:textId="77777777" w:rsidR="00CB37D2" w:rsidRDefault="00CB37D2" w:rsidP="007C425B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4E6B8036" w14:textId="77777777" w:rsidR="00CB37D2" w:rsidRDefault="00CB37D2" w:rsidP="00CB37D2">
            <w:pPr>
              <w:pStyle w:val="ListParagraph"/>
              <w:numPr>
                <w:ilvl w:val="0"/>
                <w:numId w:val="6"/>
              </w:num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All Staff</w:t>
            </w:r>
          </w:p>
          <w:p w14:paraId="1248A885" w14:textId="77777777" w:rsidR="00455788" w:rsidRDefault="00455788" w:rsidP="0045578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27F3A068" w14:textId="77777777" w:rsidR="00455788" w:rsidRDefault="00455788" w:rsidP="0045578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DABB9C7" w14:textId="206CD6CC" w:rsidR="00455788" w:rsidRPr="00455788" w:rsidRDefault="00455788" w:rsidP="00455788">
            <w:pPr>
              <w:pStyle w:val="ListParagraph"/>
              <w:numPr>
                <w:ilvl w:val="0"/>
                <w:numId w:val="6"/>
              </w:num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Ms. Keehn and Miss Fitton</w:t>
            </w:r>
          </w:p>
        </w:tc>
        <w:tc>
          <w:tcPr>
            <w:tcW w:w="2923" w:type="dxa"/>
          </w:tcPr>
          <w:p w14:paraId="495234F1" w14:textId="77777777" w:rsidR="00CB37D2" w:rsidRDefault="00455788" w:rsidP="00455788">
            <w:pPr>
              <w:pStyle w:val="ListParagraph"/>
              <w:numPr>
                <w:ilvl w:val="0"/>
                <w:numId w:val="6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lastRenderedPageBreak/>
              <w:t>Video announcements have begun for year.</w:t>
            </w:r>
          </w:p>
          <w:p w14:paraId="7EBC2344" w14:textId="77777777" w:rsidR="00455788" w:rsidRDefault="00455788" w:rsidP="00455788">
            <w:pPr>
              <w:spacing w:before="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12A1E403" w14:textId="77777777" w:rsidR="00455788" w:rsidRDefault="00455788" w:rsidP="00455788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PBIS Behaviour Matrix under development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….revision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process underway.</w:t>
            </w:r>
          </w:p>
          <w:p w14:paraId="26F74797" w14:textId="77777777" w:rsidR="00455788" w:rsidRDefault="00455788" w:rsidP="00455788">
            <w:pPr>
              <w:spacing w:before="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2F33C12" w14:textId="0AB008F9" w:rsidR="00455788" w:rsidRDefault="00455788" w:rsidP="00455788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51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Plans for painting murals underway</w:t>
            </w:r>
            <w:r w:rsidR="00593F61"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 xml:space="preserve"> many murals have been completed.  Need to be approved by admin.</w:t>
            </w:r>
            <w:bookmarkStart w:id="0" w:name="_GoBack"/>
            <w:bookmarkEnd w:id="0"/>
          </w:p>
          <w:p w14:paraId="585463FE" w14:textId="77777777" w:rsidR="00593F61" w:rsidRPr="00593F61" w:rsidRDefault="00593F61" w:rsidP="00593F61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002FE47" w14:textId="777B83D6" w:rsidR="00593F61" w:rsidRPr="00593F61" w:rsidRDefault="00593F61" w:rsidP="00593F61">
            <w:pPr>
              <w:pStyle w:val="ListParagraph"/>
              <w:spacing w:before="60"/>
              <w:ind w:left="151"/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lastRenderedPageBreak/>
              <w:t>PBIS team is not currently giving an approved tip</w:t>
            </w:r>
          </w:p>
        </w:tc>
      </w:tr>
      <w:tr w:rsidR="00CB37D2" w:rsidRPr="00342221" w14:paraId="7CB3FA3D" w14:textId="77777777" w:rsidTr="00EB04B5">
        <w:trPr>
          <w:trHeight w:val="1232"/>
        </w:trPr>
        <w:tc>
          <w:tcPr>
            <w:tcW w:w="3650" w:type="dxa"/>
            <w:vMerge/>
          </w:tcPr>
          <w:p w14:paraId="342B4A85" w14:textId="77777777" w:rsidR="00CB37D2" w:rsidRPr="00342221" w:rsidRDefault="00CB37D2" w:rsidP="002B6A14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B6BCECA" w14:textId="1FAF4015" w:rsidR="00CB37D2" w:rsidRPr="00342221" w:rsidRDefault="00CB37D2" w:rsidP="001D66F7">
            <w:pPr>
              <w:pStyle w:val="ListParagraph"/>
              <w:numPr>
                <w:ilvl w:val="0"/>
                <w:numId w:val="2"/>
              </w:num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M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ore accurate and consistent </w:t>
            </w:r>
          </w:p>
          <w:p w14:paraId="41E8DD05" w14:textId="77777777" w:rsidR="00CB37D2" w:rsidRPr="00342221" w:rsidRDefault="00CB37D2" w:rsidP="001D66F7">
            <w:pPr>
              <w:pStyle w:val="ListParagraph"/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recording of incidents by </w:t>
            </w:r>
          </w:p>
          <w:p w14:paraId="1D73E727" w14:textId="77777777" w:rsidR="00CB37D2" w:rsidRPr="00342221" w:rsidRDefault="00CB37D2" w:rsidP="001D66F7">
            <w:pPr>
              <w:pStyle w:val="ListParagraph"/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teachers – Behaviour tracking</w:t>
            </w:r>
          </w:p>
          <w:p w14:paraId="7BD6AB80" w14:textId="77777777" w:rsidR="00CB37D2" w:rsidRPr="00342221" w:rsidRDefault="00CB37D2" w:rsidP="001D66F7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813" w:type="dxa"/>
          </w:tcPr>
          <w:p w14:paraId="30034D6B" w14:textId="77777777" w:rsidR="00CB37D2" w:rsidRPr="00342221" w:rsidRDefault="00CB37D2" w:rsidP="00AB67F8">
            <w:pPr>
              <w:pStyle w:val="ListParagraph"/>
              <w:numPr>
                <w:ilvl w:val="0"/>
                <w:numId w:val="3"/>
              </w:num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Review and discuss regularly what </w:t>
            </w:r>
          </w:p>
          <w:p w14:paraId="09BDDE1D" w14:textId="77777777" w:rsidR="00CB37D2" w:rsidRPr="00342221" w:rsidRDefault="00CB37D2" w:rsidP="00AB67F8">
            <w:p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positive behaviours look like and the</w:t>
            </w:r>
          </w:p>
          <w:p w14:paraId="53FEA2A6" w14:textId="77777777" w:rsidR="00CB37D2" w:rsidRPr="00342221" w:rsidRDefault="00CB37D2" w:rsidP="00AB67F8">
            <w:p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language of the Behavior Tracking </w:t>
            </w:r>
          </w:p>
          <w:p w14:paraId="6AB2A945" w14:textId="77777777" w:rsidR="00CB37D2" w:rsidRPr="00342221" w:rsidRDefault="00CB37D2" w:rsidP="00AB67F8">
            <w:p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Forms to be sure staff are consistent in</w:t>
            </w:r>
          </w:p>
          <w:p w14:paraId="6314BCA4" w14:textId="77777777" w:rsidR="00CB37D2" w:rsidRPr="00342221" w:rsidRDefault="00CB37D2" w:rsidP="00AB67F8">
            <w:p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reporting (consistent language used </w:t>
            </w:r>
          </w:p>
          <w:p w14:paraId="757E4FDF" w14:textId="698EB9C9" w:rsidR="00CB37D2" w:rsidRPr="00342221" w:rsidRDefault="00CB37D2" w:rsidP="00AB67F8">
            <w:pPr>
              <w:pStyle w:val="ListParagraph"/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</w:t>
            </w: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among teachers)</w:t>
            </w:r>
          </w:p>
        </w:tc>
        <w:tc>
          <w:tcPr>
            <w:tcW w:w="3207" w:type="dxa"/>
          </w:tcPr>
          <w:p w14:paraId="44FC73B8" w14:textId="77777777" w:rsidR="00CB37D2" w:rsidRPr="00342221" w:rsidRDefault="00CB37D2" w:rsidP="00523C70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42221">
              <w:rPr>
                <w:rFonts w:asciiTheme="majorHAnsi" w:hAnsiTheme="majorHAnsi" w:cs="Arial"/>
                <w:sz w:val="18"/>
                <w:szCs w:val="18"/>
                <w:lang w:eastAsia="ja-JP"/>
              </w:rPr>
              <w:t>Behaviour tracking in Power School will be more accurate and consistent – change to blue form &amp; electronic submission to administration</w:t>
            </w:r>
          </w:p>
          <w:p w14:paraId="09CB2051" w14:textId="77777777" w:rsidR="00CB37D2" w:rsidRPr="00342221" w:rsidRDefault="00CB37D2" w:rsidP="00523C70">
            <w:pPr>
              <w:pStyle w:val="ListParagraph"/>
              <w:ind w:left="16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747" w:type="dxa"/>
          </w:tcPr>
          <w:p w14:paraId="79DEE309" w14:textId="4086701C" w:rsidR="00CB37D2" w:rsidRDefault="00CB37D2" w:rsidP="00CB37D2">
            <w:pPr>
              <w:pStyle w:val="ListParagraph"/>
              <w:numPr>
                <w:ilvl w:val="0"/>
                <w:numId w:val="3"/>
              </w:num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Admin Staff</w:t>
            </w:r>
          </w:p>
          <w:p w14:paraId="0087A6BC" w14:textId="77777777" w:rsidR="00CB37D2" w:rsidRDefault="00CB37D2" w:rsidP="00CB37D2">
            <w:pPr>
              <w:pStyle w:val="ListParagraph"/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0A3721B" w14:textId="3C0FADAC" w:rsidR="00CB37D2" w:rsidRPr="00342221" w:rsidRDefault="00CB37D2" w:rsidP="00CB37D2">
            <w:pPr>
              <w:pStyle w:val="ListParagraph"/>
              <w:numPr>
                <w:ilvl w:val="0"/>
                <w:numId w:val="3"/>
              </w:numPr>
              <w:ind w:left="106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All Teachers</w:t>
            </w:r>
          </w:p>
        </w:tc>
        <w:tc>
          <w:tcPr>
            <w:tcW w:w="2923" w:type="dxa"/>
          </w:tcPr>
          <w:p w14:paraId="295D55DE" w14:textId="1A8ECC5B" w:rsidR="00CB37D2" w:rsidRPr="00342221" w:rsidRDefault="00455788" w:rsidP="00455788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51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Staff doing well with behaviour tracking so far. Need to review process with new teachers and interns.</w:t>
            </w:r>
          </w:p>
        </w:tc>
      </w:tr>
    </w:tbl>
    <w:p w14:paraId="57E81C67" w14:textId="77777777" w:rsidR="009C67CB" w:rsidRPr="00342221" w:rsidRDefault="009C67CB" w:rsidP="00367508">
      <w:pPr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  <w:lang w:eastAsia="ja-JP"/>
        </w:rPr>
      </w:pPr>
    </w:p>
    <w:sectPr w:rsidR="009C67CB" w:rsidRPr="00342221" w:rsidSect="00832E62">
      <w:pgSz w:w="20160" w:h="12240" w:orient="landscape" w:code="5"/>
      <w:pgMar w:top="720" w:right="4205" w:bottom="540" w:left="42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AC9B" w14:textId="77777777" w:rsidR="00A44B0C" w:rsidRDefault="00A44B0C" w:rsidP="00680FEC">
      <w:pPr>
        <w:spacing w:after="0" w:line="240" w:lineRule="auto"/>
      </w:pPr>
      <w:r>
        <w:separator/>
      </w:r>
    </w:p>
  </w:endnote>
  <w:endnote w:type="continuationSeparator" w:id="0">
    <w:p w14:paraId="207B0744" w14:textId="77777777" w:rsidR="00A44B0C" w:rsidRDefault="00A44B0C" w:rsidP="0068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6967B" w14:textId="77777777" w:rsidR="00A44B0C" w:rsidRDefault="00A44B0C" w:rsidP="00680FEC">
      <w:pPr>
        <w:spacing w:after="0" w:line="240" w:lineRule="auto"/>
      </w:pPr>
      <w:r>
        <w:separator/>
      </w:r>
    </w:p>
  </w:footnote>
  <w:footnote w:type="continuationSeparator" w:id="0">
    <w:p w14:paraId="634A7E4F" w14:textId="77777777" w:rsidR="00A44B0C" w:rsidRDefault="00A44B0C" w:rsidP="0068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419B"/>
    <w:multiLevelType w:val="hybridMultilevel"/>
    <w:tmpl w:val="8A2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1A99"/>
    <w:multiLevelType w:val="hybridMultilevel"/>
    <w:tmpl w:val="B360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006F"/>
    <w:multiLevelType w:val="hybridMultilevel"/>
    <w:tmpl w:val="2A985E06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5BBC0F6E"/>
    <w:multiLevelType w:val="hybridMultilevel"/>
    <w:tmpl w:val="D76273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E75049"/>
    <w:multiLevelType w:val="hybridMultilevel"/>
    <w:tmpl w:val="B18C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E8"/>
    <w:rsid w:val="00003FEA"/>
    <w:rsid w:val="00016DB2"/>
    <w:rsid w:val="000245BC"/>
    <w:rsid w:val="00057D82"/>
    <w:rsid w:val="00062CF2"/>
    <w:rsid w:val="00083CF7"/>
    <w:rsid w:val="00090BA9"/>
    <w:rsid w:val="00093902"/>
    <w:rsid w:val="000A07F0"/>
    <w:rsid w:val="000E1DE3"/>
    <w:rsid w:val="00116779"/>
    <w:rsid w:val="0012158F"/>
    <w:rsid w:val="001244A7"/>
    <w:rsid w:val="001438B3"/>
    <w:rsid w:val="001465B7"/>
    <w:rsid w:val="001A21D1"/>
    <w:rsid w:val="001C199E"/>
    <w:rsid w:val="001C53EA"/>
    <w:rsid w:val="001D5566"/>
    <w:rsid w:val="001D66F7"/>
    <w:rsid w:val="001E16CD"/>
    <w:rsid w:val="001F547D"/>
    <w:rsid w:val="00205646"/>
    <w:rsid w:val="00206753"/>
    <w:rsid w:val="0020796D"/>
    <w:rsid w:val="00226121"/>
    <w:rsid w:val="00253A34"/>
    <w:rsid w:val="00256D6E"/>
    <w:rsid w:val="002631CF"/>
    <w:rsid w:val="00274D6D"/>
    <w:rsid w:val="00287778"/>
    <w:rsid w:val="002A1ECF"/>
    <w:rsid w:val="002B6A14"/>
    <w:rsid w:val="002C25A4"/>
    <w:rsid w:val="00305DD6"/>
    <w:rsid w:val="00326552"/>
    <w:rsid w:val="00326864"/>
    <w:rsid w:val="00342221"/>
    <w:rsid w:val="00365011"/>
    <w:rsid w:val="00367508"/>
    <w:rsid w:val="0036787A"/>
    <w:rsid w:val="00374A97"/>
    <w:rsid w:val="003770AD"/>
    <w:rsid w:val="0038024C"/>
    <w:rsid w:val="00385931"/>
    <w:rsid w:val="003877B4"/>
    <w:rsid w:val="00392D8C"/>
    <w:rsid w:val="003B70BF"/>
    <w:rsid w:val="003C7B61"/>
    <w:rsid w:val="003D1A44"/>
    <w:rsid w:val="003E7B4E"/>
    <w:rsid w:val="003F2D1B"/>
    <w:rsid w:val="0040637D"/>
    <w:rsid w:val="00406D24"/>
    <w:rsid w:val="00416C17"/>
    <w:rsid w:val="004346C9"/>
    <w:rsid w:val="00450510"/>
    <w:rsid w:val="00452FA3"/>
    <w:rsid w:val="00455788"/>
    <w:rsid w:val="00461D7D"/>
    <w:rsid w:val="00463BB5"/>
    <w:rsid w:val="004652AD"/>
    <w:rsid w:val="00473478"/>
    <w:rsid w:val="00474F7C"/>
    <w:rsid w:val="00483CB3"/>
    <w:rsid w:val="00496F9C"/>
    <w:rsid w:val="004A08A9"/>
    <w:rsid w:val="004B1046"/>
    <w:rsid w:val="004C4315"/>
    <w:rsid w:val="004C5FAE"/>
    <w:rsid w:val="004D6394"/>
    <w:rsid w:val="004E4A8F"/>
    <w:rsid w:val="0050778F"/>
    <w:rsid w:val="00512606"/>
    <w:rsid w:val="00514A84"/>
    <w:rsid w:val="00517826"/>
    <w:rsid w:val="00522A03"/>
    <w:rsid w:val="00523C70"/>
    <w:rsid w:val="005243F5"/>
    <w:rsid w:val="005420FC"/>
    <w:rsid w:val="005543A3"/>
    <w:rsid w:val="00562444"/>
    <w:rsid w:val="00566533"/>
    <w:rsid w:val="00566FD5"/>
    <w:rsid w:val="0057122A"/>
    <w:rsid w:val="00572EFD"/>
    <w:rsid w:val="00573D9F"/>
    <w:rsid w:val="00593F61"/>
    <w:rsid w:val="005A1418"/>
    <w:rsid w:val="005A6191"/>
    <w:rsid w:val="005B1503"/>
    <w:rsid w:val="005C4628"/>
    <w:rsid w:val="005C7752"/>
    <w:rsid w:val="005D2CCC"/>
    <w:rsid w:val="005F3C07"/>
    <w:rsid w:val="00604DF2"/>
    <w:rsid w:val="00612288"/>
    <w:rsid w:val="00616C1C"/>
    <w:rsid w:val="00630FA6"/>
    <w:rsid w:val="006418B8"/>
    <w:rsid w:val="00656A38"/>
    <w:rsid w:val="00664443"/>
    <w:rsid w:val="00672900"/>
    <w:rsid w:val="00674CDC"/>
    <w:rsid w:val="00675424"/>
    <w:rsid w:val="00675970"/>
    <w:rsid w:val="00675BB7"/>
    <w:rsid w:val="00680FEC"/>
    <w:rsid w:val="006811D9"/>
    <w:rsid w:val="006A47AE"/>
    <w:rsid w:val="006B44EA"/>
    <w:rsid w:val="006B569E"/>
    <w:rsid w:val="006B5CC1"/>
    <w:rsid w:val="006C0BFA"/>
    <w:rsid w:val="006D1DAC"/>
    <w:rsid w:val="006D3228"/>
    <w:rsid w:val="007001C0"/>
    <w:rsid w:val="00703EB0"/>
    <w:rsid w:val="007158F4"/>
    <w:rsid w:val="00725A3C"/>
    <w:rsid w:val="007309AE"/>
    <w:rsid w:val="00743B80"/>
    <w:rsid w:val="00755D0C"/>
    <w:rsid w:val="007A68DD"/>
    <w:rsid w:val="007B0AB7"/>
    <w:rsid w:val="007B30E4"/>
    <w:rsid w:val="007B32D2"/>
    <w:rsid w:val="007B6540"/>
    <w:rsid w:val="007B7AED"/>
    <w:rsid w:val="007C2512"/>
    <w:rsid w:val="007C425B"/>
    <w:rsid w:val="007C4847"/>
    <w:rsid w:val="007F066D"/>
    <w:rsid w:val="007F3793"/>
    <w:rsid w:val="007F726C"/>
    <w:rsid w:val="00804295"/>
    <w:rsid w:val="00804FE1"/>
    <w:rsid w:val="00821D6F"/>
    <w:rsid w:val="008271FD"/>
    <w:rsid w:val="00832E62"/>
    <w:rsid w:val="00834A71"/>
    <w:rsid w:val="008350B6"/>
    <w:rsid w:val="00864F4D"/>
    <w:rsid w:val="00871E37"/>
    <w:rsid w:val="008A43F5"/>
    <w:rsid w:val="008C0BC8"/>
    <w:rsid w:val="008C4E9A"/>
    <w:rsid w:val="008C73DF"/>
    <w:rsid w:val="008E60CB"/>
    <w:rsid w:val="00915BC5"/>
    <w:rsid w:val="009353FB"/>
    <w:rsid w:val="009526C5"/>
    <w:rsid w:val="00954924"/>
    <w:rsid w:val="009557CC"/>
    <w:rsid w:val="009579C7"/>
    <w:rsid w:val="00961D0A"/>
    <w:rsid w:val="00972694"/>
    <w:rsid w:val="009743AD"/>
    <w:rsid w:val="00974CA4"/>
    <w:rsid w:val="009A1189"/>
    <w:rsid w:val="009B49EA"/>
    <w:rsid w:val="009C67CB"/>
    <w:rsid w:val="009F152F"/>
    <w:rsid w:val="00A04B98"/>
    <w:rsid w:val="00A30F73"/>
    <w:rsid w:val="00A36FF7"/>
    <w:rsid w:val="00A44B0C"/>
    <w:rsid w:val="00A46FD9"/>
    <w:rsid w:val="00A72096"/>
    <w:rsid w:val="00A8016C"/>
    <w:rsid w:val="00AA0CB1"/>
    <w:rsid w:val="00AA50DE"/>
    <w:rsid w:val="00AB67F8"/>
    <w:rsid w:val="00AC20D9"/>
    <w:rsid w:val="00AC60BD"/>
    <w:rsid w:val="00B02BB0"/>
    <w:rsid w:val="00B03848"/>
    <w:rsid w:val="00B14068"/>
    <w:rsid w:val="00B15AAA"/>
    <w:rsid w:val="00B444EE"/>
    <w:rsid w:val="00B60192"/>
    <w:rsid w:val="00B7028A"/>
    <w:rsid w:val="00B720CC"/>
    <w:rsid w:val="00B72C8E"/>
    <w:rsid w:val="00B76287"/>
    <w:rsid w:val="00B8391A"/>
    <w:rsid w:val="00B875E9"/>
    <w:rsid w:val="00BA0FB7"/>
    <w:rsid w:val="00BB2C30"/>
    <w:rsid w:val="00BD0174"/>
    <w:rsid w:val="00BD6D13"/>
    <w:rsid w:val="00C01EFE"/>
    <w:rsid w:val="00C127E2"/>
    <w:rsid w:val="00C17E03"/>
    <w:rsid w:val="00C378F8"/>
    <w:rsid w:val="00C61F8A"/>
    <w:rsid w:val="00C749BA"/>
    <w:rsid w:val="00C824ED"/>
    <w:rsid w:val="00C95F1C"/>
    <w:rsid w:val="00CB2374"/>
    <w:rsid w:val="00CB37D2"/>
    <w:rsid w:val="00CB6FF0"/>
    <w:rsid w:val="00CD7DB3"/>
    <w:rsid w:val="00CE044B"/>
    <w:rsid w:val="00D0159F"/>
    <w:rsid w:val="00D12884"/>
    <w:rsid w:val="00D161B0"/>
    <w:rsid w:val="00D35C3F"/>
    <w:rsid w:val="00D43D2B"/>
    <w:rsid w:val="00D52252"/>
    <w:rsid w:val="00D57642"/>
    <w:rsid w:val="00D60EE2"/>
    <w:rsid w:val="00D93826"/>
    <w:rsid w:val="00D97C53"/>
    <w:rsid w:val="00DA3640"/>
    <w:rsid w:val="00DB3B32"/>
    <w:rsid w:val="00DC2B94"/>
    <w:rsid w:val="00DD69DC"/>
    <w:rsid w:val="00DE4AB5"/>
    <w:rsid w:val="00DF12F7"/>
    <w:rsid w:val="00E04C77"/>
    <w:rsid w:val="00E2004C"/>
    <w:rsid w:val="00E250EE"/>
    <w:rsid w:val="00E26073"/>
    <w:rsid w:val="00E325D0"/>
    <w:rsid w:val="00E3383B"/>
    <w:rsid w:val="00E64DF3"/>
    <w:rsid w:val="00E80FF1"/>
    <w:rsid w:val="00E87687"/>
    <w:rsid w:val="00E91660"/>
    <w:rsid w:val="00E975B4"/>
    <w:rsid w:val="00E97CF4"/>
    <w:rsid w:val="00EA1A57"/>
    <w:rsid w:val="00EB04B5"/>
    <w:rsid w:val="00EB2605"/>
    <w:rsid w:val="00EB3A76"/>
    <w:rsid w:val="00EB4173"/>
    <w:rsid w:val="00ED37EE"/>
    <w:rsid w:val="00EE5DFD"/>
    <w:rsid w:val="00EE61E8"/>
    <w:rsid w:val="00F1602B"/>
    <w:rsid w:val="00F16531"/>
    <w:rsid w:val="00F22A40"/>
    <w:rsid w:val="00F42522"/>
    <w:rsid w:val="00F51A28"/>
    <w:rsid w:val="00F84289"/>
    <w:rsid w:val="00FB1641"/>
    <w:rsid w:val="00FD1C46"/>
    <w:rsid w:val="00FD63F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E81C03"/>
  <w15:docId w15:val="{1F0885E3-5482-44B5-9D11-D3C72C67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D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2605"/>
    <w:pPr>
      <w:spacing w:after="0" w:line="240" w:lineRule="auto"/>
    </w:pPr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EC"/>
  </w:style>
  <w:style w:type="paragraph" w:styleId="Footer">
    <w:name w:val="footer"/>
    <w:basedOn w:val="Normal"/>
    <w:link w:val="FooterChar"/>
    <w:uiPriority w:val="99"/>
    <w:unhideWhenUsed/>
    <w:rsid w:val="0068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EC"/>
  </w:style>
  <w:style w:type="character" w:customStyle="1" w:styleId="Heading1Char">
    <w:name w:val="Heading 1 Char"/>
    <w:basedOn w:val="DefaultParagraphFont"/>
    <w:link w:val="Heading1"/>
    <w:uiPriority w:val="9"/>
    <w:rsid w:val="0075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9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1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89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4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2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72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3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49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70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40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6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17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0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0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393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55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8867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37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830">
          <w:marLeft w:val="821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714">
          <w:marLeft w:val="821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570">
          <w:marLeft w:val="821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86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3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63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82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78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62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40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05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0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212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72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74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95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42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C02CE9C9609EC42AA3C5BBF86B339DC" ma:contentTypeVersion="9" ma:contentTypeDescription="" ma:contentTypeScope="" ma:versionID="ad121d1a0a8cd64b73e5fdf5fba29d3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0cb6c5c77b88fe9a0a5790092545f3c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9B9E1-D229-43DE-A42F-8AB2DEC81BAB}"/>
</file>

<file path=customXml/itemProps2.xml><?xml version="1.0" encoding="utf-8"?>
<ds:datastoreItem xmlns:ds="http://schemas.openxmlformats.org/officeDocument/2006/customXml" ds:itemID="{1D42858F-0646-4AF3-A877-F800490A1E8B}"/>
</file>

<file path=customXml/itemProps3.xml><?xml version="1.0" encoding="utf-8"?>
<ds:datastoreItem xmlns:ds="http://schemas.openxmlformats.org/officeDocument/2006/customXml" ds:itemID="{1D44615E-7E9C-40B5-A29D-617205855812}"/>
</file>

<file path=customXml/itemProps4.xml><?xml version="1.0" encoding="utf-8"?>
<ds:datastoreItem xmlns:ds="http://schemas.openxmlformats.org/officeDocument/2006/customXml" ds:itemID="{109169B5-68F8-4F38-9D24-68558748D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Donna.Seymour</dc:creator>
  <cp:lastModifiedBy>Kitchen, Ian (ASD-W)</cp:lastModifiedBy>
  <cp:revision>2</cp:revision>
  <cp:lastPrinted>2017-11-21T16:16:00Z</cp:lastPrinted>
  <dcterms:created xsi:type="dcterms:W3CDTF">2020-01-07T15:51:00Z</dcterms:created>
  <dcterms:modified xsi:type="dcterms:W3CDTF">2020-01-07T15:51:00Z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0x010100F2A1E1E4D320C749A22EC3F91FD053D6000C02CE9C9609EC42AA3C5BBF86B339DC</vt:lpwstr>
  </property>
</Properties>
</file>